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D5EAF" w14:textId="77777777" w:rsidR="00B73A95" w:rsidRPr="00B73A95" w:rsidRDefault="00B73A95" w:rsidP="00B73A95">
      <w:pPr>
        <w:widowControl w:val="0"/>
        <w:jc w:val="center"/>
        <w:rPr>
          <w:rFonts w:asciiTheme="minorHAnsi" w:hAnsiTheme="minorHAnsi"/>
          <w:b/>
          <w:bCs/>
          <w:i/>
          <w:iCs/>
          <w:sz w:val="32"/>
          <w:szCs w:val="26"/>
          <w14:ligatures w14:val="none"/>
        </w:rPr>
      </w:pPr>
      <w:r w:rsidRPr="00B73A95">
        <w:rPr>
          <w:rFonts w:asciiTheme="minorHAnsi" w:hAnsiTheme="minorHAnsi"/>
          <w:noProof/>
          <w:color w:val="000000"/>
          <w:kern w:val="0"/>
          <w:sz w:val="32"/>
          <w:szCs w:val="24"/>
          <w14:ligatures w14:val="none"/>
          <w14:cntxtAlts w14:val="0"/>
        </w:rPr>
        <w:drawing>
          <wp:anchor distT="36576" distB="36576" distL="36576" distR="36576" simplePos="0" relativeHeight="251658240" behindDoc="0" locked="0" layoutInCell="1" allowOverlap="1" wp14:anchorId="32DFF293" wp14:editId="5469CA6B">
            <wp:simplePos x="0" y="0"/>
            <wp:positionH relativeFrom="column">
              <wp:posOffset>0</wp:posOffset>
            </wp:positionH>
            <wp:positionV relativeFrom="paragraph">
              <wp:posOffset>36830</wp:posOffset>
            </wp:positionV>
            <wp:extent cx="672465" cy="687705"/>
            <wp:effectExtent l="0" t="0" r="0" b="0"/>
            <wp:wrapNone/>
            <wp:docPr id="1" name="Picture 1" descr="thXSXLG1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XSXLG1C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2465" cy="6877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73A95">
        <w:rPr>
          <w:rFonts w:asciiTheme="minorHAnsi" w:hAnsiTheme="minorHAnsi"/>
          <w:b/>
          <w:bCs/>
          <w:i/>
          <w:iCs/>
          <w:sz w:val="32"/>
          <w:szCs w:val="26"/>
          <w14:ligatures w14:val="none"/>
        </w:rPr>
        <w:t> </w:t>
      </w:r>
    </w:p>
    <w:p w14:paraId="64364D1E" w14:textId="77777777" w:rsidR="00B73A95" w:rsidRPr="00B73A95" w:rsidRDefault="00B73A95" w:rsidP="00B73A95">
      <w:pPr>
        <w:widowControl w:val="0"/>
        <w:jc w:val="center"/>
        <w:rPr>
          <w:rFonts w:asciiTheme="minorHAnsi" w:hAnsiTheme="minorHAnsi"/>
          <w:b/>
          <w:bCs/>
          <w:i/>
          <w:iCs/>
          <w:sz w:val="32"/>
          <w:szCs w:val="26"/>
          <w14:ligatures w14:val="none"/>
        </w:rPr>
      </w:pPr>
      <w:r w:rsidRPr="00B73A95">
        <w:rPr>
          <w:rFonts w:asciiTheme="minorHAnsi" w:hAnsiTheme="minorHAnsi"/>
          <w:b/>
          <w:bCs/>
          <w:i/>
          <w:iCs/>
          <w:sz w:val="32"/>
          <w:szCs w:val="26"/>
          <w14:ligatures w14:val="none"/>
        </w:rPr>
        <w:t xml:space="preserve">A Note about the </w:t>
      </w:r>
    </w:p>
    <w:p w14:paraId="1239672C" w14:textId="77777777" w:rsidR="00B73A95" w:rsidRPr="00B73A95" w:rsidRDefault="00B73A95" w:rsidP="00B73A95">
      <w:pPr>
        <w:widowControl w:val="0"/>
        <w:jc w:val="center"/>
        <w:rPr>
          <w:rFonts w:asciiTheme="minorHAnsi" w:hAnsiTheme="minorHAnsi"/>
          <w:b/>
          <w:bCs/>
          <w:i/>
          <w:iCs/>
          <w:sz w:val="32"/>
          <w:szCs w:val="26"/>
          <w14:ligatures w14:val="none"/>
        </w:rPr>
      </w:pPr>
      <w:r w:rsidRPr="00B73A95">
        <w:rPr>
          <w:rFonts w:asciiTheme="minorHAnsi" w:hAnsiTheme="minorHAnsi"/>
          <w:b/>
          <w:bCs/>
          <w:i/>
          <w:iCs/>
          <w:sz w:val="32"/>
          <w:szCs w:val="26"/>
          <w14:ligatures w14:val="none"/>
        </w:rPr>
        <w:t>Sacrament of the Sick</w:t>
      </w:r>
    </w:p>
    <w:p w14:paraId="3F37AC58" w14:textId="77777777" w:rsidR="00B73A95" w:rsidRPr="00B73A95" w:rsidRDefault="00B73A95" w:rsidP="00B73A95">
      <w:pPr>
        <w:widowControl w:val="0"/>
        <w:rPr>
          <w:rFonts w:asciiTheme="minorHAnsi" w:hAnsiTheme="minorHAnsi"/>
          <w:i/>
          <w:iCs/>
          <w:sz w:val="18"/>
          <w:szCs w:val="14"/>
          <w14:ligatures w14:val="none"/>
        </w:rPr>
      </w:pPr>
      <w:r w:rsidRPr="00B73A95">
        <w:rPr>
          <w:rFonts w:asciiTheme="minorHAnsi" w:hAnsiTheme="minorHAnsi"/>
          <w:i/>
          <w:iCs/>
          <w:sz w:val="18"/>
          <w:szCs w:val="14"/>
          <w14:ligatures w14:val="none"/>
        </w:rPr>
        <w:t> </w:t>
      </w:r>
    </w:p>
    <w:p w14:paraId="55DB8FFF" w14:textId="77777777" w:rsidR="00B73A95" w:rsidRPr="00B73A95" w:rsidRDefault="00B73A95" w:rsidP="00B73A95">
      <w:pPr>
        <w:widowControl w:val="0"/>
        <w:rPr>
          <w:rFonts w:asciiTheme="minorHAnsi" w:hAnsiTheme="minorHAnsi"/>
          <w:i/>
          <w:iCs/>
          <w:sz w:val="18"/>
          <w:szCs w:val="14"/>
          <w14:ligatures w14:val="none"/>
        </w:rPr>
      </w:pPr>
      <w:r w:rsidRPr="00B73A95">
        <w:rPr>
          <w:rFonts w:asciiTheme="minorHAnsi" w:hAnsiTheme="minorHAnsi"/>
          <w:i/>
          <w:iCs/>
          <w:sz w:val="18"/>
          <w:szCs w:val="14"/>
          <w14:ligatures w14:val="none"/>
        </w:rPr>
        <w:t> </w:t>
      </w:r>
    </w:p>
    <w:p w14:paraId="63301648" w14:textId="77777777" w:rsidR="00B73A95" w:rsidRPr="00B73A95" w:rsidRDefault="00B73A95" w:rsidP="00B73A95">
      <w:pPr>
        <w:widowControl w:val="0"/>
        <w:rPr>
          <w:rFonts w:asciiTheme="minorHAnsi" w:hAnsiTheme="minorHAnsi"/>
          <w:i/>
          <w:iCs/>
          <w:sz w:val="18"/>
          <w:szCs w:val="14"/>
          <w14:ligatures w14:val="none"/>
        </w:rPr>
      </w:pPr>
      <w:r w:rsidRPr="00B73A95">
        <w:rPr>
          <w:rFonts w:asciiTheme="minorHAnsi" w:hAnsiTheme="minorHAnsi"/>
          <w:i/>
          <w:iCs/>
          <w:sz w:val="18"/>
          <w:szCs w:val="14"/>
          <w14:ligatures w14:val="none"/>
        </w:rPr>
        <w:t> </w:t>
      </w:r>
    </w:p>
    <w:p w14:paraId="46D3B088" w14:textId="77777777" w:rsidR="00B73A95" w:rsidRPr="00B73A95" w:rsidRDefault="00B73A95" w:rsidP="00B73A95">
      <w:pPr>
        <w:widowControl w:val="0"/>
        <w:spacing w:after="120"/>
        <w:rPr>
          <w:rFonts w:asciiTheme="minorHAnsi" w:hAnsiTheme="minorHAnsi"/>
          <w:sz w:val="24"/>
          <w14:ligatures w14:val="none"/>
        </w:rPr>
      </w:pPr>
      <w:r w:rsidRPr="00B73A95">
        <w:rPr>
          <w:rFonts w:asciiTheme="minorHAnsi" w:hAnsiTheme="minorHAnsi"/>
          <w:sz w:val="24"/>
          <w14:ligatures w14:val="none"/>
        </w:rPr>
        <w:t>From ancient times there is evidence of the anointing of the sick in our Church’s tradition. We profess that this anointing is one of the seven sacraments of the New Testament. Our Lord’s desire is to accompany and strengthen those who are seriously or chronically ill.</w:t>
      </w:r>
    </w:p>
    <w:p w14:paraId="42282C38" w14:textId="77777777" w:rsidR="00B73A95" w:rsidRPr="00B73A95" w:rsidRDefault="00B73A95" w:rsidP="00B73A95">
      <w:pPr>
        <w:widowControl w:val="0"/>
        <w:spacing w:after="120"/>
        <w:rPr>
          <w:rFonts w:asciiTheme="minorHAnsi" w:hAnsiTheme="minorHAnsi"/>
          <w:sz w:val="24"/>
          <w14:ligatures w14:val="none"/>
        </w:rPr>
      </w:pPr>
      <w:r w:rsidRPr="00B73A95">
        <w:rPr>
          <w:rFonts w:asciiTheme="minorHAnsi" w:hAnsiTheme="minorHAnsi"/>
          <w:sz w:val="24"/>
          <w14:ligatures w14:val="none"/>
        </w:rPr>
        <w:t>Since Vatican Council II, the Church emphasizes that this anointing of the sick is not a sacrament for those only who are at the point of death (Extreme Unction) but for those whose health is compromised by serious illness or advancing age.</w:t>
      </w:r>
    </w:p>
    <w:p w14:paraId="1A353FE1" w14:textId="77777777" w:rsidR="00B73A95" w:rsidRPr="00B73A95" w:rsidRDefault="00B73A95" w:rsidP="00B73A95">
      <w:pPr>
        <w:widowControl w:val="0"/>
        <w:spacing w:after="120"/>
        <w:rPr>
          <w:rFonts w:asciiTheme="minorHAnsi" w:hAnsiTheme="minorHAnsi"/>
          <w:sz w:val="24"/>
          <w14:ligatures w14:val="none"/>
        </w:rPr>
      </w:pPr>
      <w:r w:rsidRPr="00B73A95">
        <w:rPr>
          <w:rFonts w:asciiTheme="minorHAnsi" w:hAnsiTheme="minorHAnsi"/>
          <w:sz w:val="24"/>
          <w14:ligatures w14:val="none"/>
        </w:rPr>
        <w:t xml:space="preserve">The Church states in its </w:t>
      </w:r>
      <w:r w:rsidRPr="00B73A95">
        <w:rPr>
          <w:rFonts w:asciiTheme="minorHAnsi" w:hAnsiTheme="minorHAnsi"/>
          <w:b/>
          <w:bCs/>
          <w:sz w:val="24"/>
          <w14:ligatures w14:val="none"/>
        </w:rPr>
        <w:t xml:space="preserve">Constitution on the Liturgy </w:t>
      </w:r>
      <w:r w:rsidRPr="00B73A95">
        <w:rPr>
          <w:rFonts w:asciiTheme="minorHAnsi" w:hAnsiTheme="minorHAnsi"/>
          <w:sz w:val="24"/>
          <w14:ligatures w14:val="none"/>
        </w:rPr>
        <w:t xml:space="preserve">that </w:t>
      </w:r>
      <w:r w:rsidRPr="00B73A95">
        <w:rPr>
          <w:rFonts w:asciiTheme="minorHAnsi" w:hAnsiTheme="minorHAnsi"/>
          <w:i/>
          <w:iCs/>
          <w:sz w:val="24"/>
          <w14:ligatures w14:val="none"/>
        </w:rPr>
        <w:t xml:space="preserve">“great care and concern should be taken to see that those of the faithful whose health is seriously impaired by sickness or advancing age receive the sacrament.”  </w:t>
      </w:r>
    </w:p>
    <w:p w14:paraId="07E064EC" w14:textId="77777777" w:rsidR="00B73A95" w:rsidRPr="00B73A95" w:rsidRDefault="00B73A95" w:rsidP="00B73A95">
      <w:pPr>
        <w:widowControl w:val="0"/>
        <w:spacing w:after="120"/>
        <w:rPr>
          <w:rFonts w:asciiTheme="minorHAnsi" w:hAnsiTheme="minorHAnsi"/>
          <w:sz w:val="24"/>
          <w14:ligatures w14:val="none"/>
        </w:rPr>
      </w:pPr>
      <w:r w:rsidRPr="00B73A95">
        <w:rPr>
          <w:rFonts w:asciiTheme="minorHAnsi" w:hAnsiTheme="minorHAnsi"/>
          <w:sz w:val="24"/>
          <w14:ligatures w14:val="none"/>
        </w:rPr>
        <w:t xml:space="preserve">With this understanding and appreciation of the anointing of the sick, our parishioners are encouraged to request this sacrament for themselves or immediate family members as soon as </w:t>
      </w:r>
      <w:r w:rsidRPr="00B73A95">
        <w:rPr>
          <w:rFonts w:asciiTheme="minorHAnsi" w:hAnsiTheme="minorHAnsi"/>
          <w:b/>
          <w:bCs/>
          <w:i/>
          <w:iCs/>
          <w:sz w:val="24"/>
          <w14:ligatures w14:val="none"/>
        </w:rPr>
        <w:t xml:space="preserve">serious </w:t>
      </w:r>
      <w:r w:rsidRPr="00B73A95">
        <w:rPr>
          <w:rFonts w:asciiTheme="minorHAnsi" w:hAnsiTheme="minorHAnsi"/>
          <w:sz w:val="24"/>
          <w14:ligatures w14:val="none"/>
        </w:rPr>
        <w:t>illness or advancing age begins to impair health. It is not necessary to delay the Sacrament of Anointing until it becomes an extreme situation at the moment of death.</w:t>
      </w:r>
    </w:p>
    <w:p w14:paraId="468C5E77" w14:textId="20B8136E" w:rsidR="00B73A95" w:rsidRPr="008F5CBC" w:rsidRDefault="008F5CBC" w:rsidP="00B73A95">
      <w:pPr>
        <w:widowControl w:val="0"/>
        <w:spacing w:after="120"/>
        <w:rPr>
          <w:rFonts w:asciiTheme="minorHAnsi" w:hAnsiTheme="minorHAnsi"/>
          <w:i/>
          <w:iCs/>
          <w:sz w:val="24"/>
          <w14:ligatures w14:val="none"/>
        </w:rPr>
      </w:pPr>
      <w:r>
        <w:rPr>
          <w:rFonts w:asciiTheme="minorHAnsi" w:hAnsiTheme="minorHAnsi"/>
          <w:sz w:val="24"/>
          <w14:ligatures w14:val="none"/>
        </w:rPr>
        <w:t>Normally as</w:t>
      </w:r>
      <w:r w:rsidR="00B73A95" w:rsidRPr="00B73A95">
        <w:rPr>
          <w:rFonts w:asciiTheme="minorHAnsi" w:hAnsiTheme="minorHAnsi"/>
          <w:sz w:val="24"/>
          <w14:ligatures w14:val="none"/>
        </w:rPr>
        <w:t xml:space="preserve"> a parish practice, we anoint regularly our parishioners who are home-bound and in various nursing homes. Both Fr. Pius and Fr. John anoint parishioners upon request before their hospital stays as well as in unplanned emergency situations. </w:t>
      </w:r>
      <w:r w:rsidRPr="008F5CBC">
        <w:rPr>
          <w:rFonts w:asciiTheme="minorHAnsi" w:hAnsiTheme="minorHAnsi"/>
          <w:b/>
          <w:bCs/>
          <w:sz w:val="24"/>
          <w14:ligatures w14:val="none"/>
        </w:rPr>
        <w:t>PLEASE NOTE</w:t>
      </w:r>
      <w:r>
        <w:rPr>
          <w:rFonts w:asciiTheme="minorHAnsi" w:hAnsiTheme="minorHAnsi"/>
          <w:sz w:val="24"/>
          <w14:ligatures w14:val="none"/>
        </w:rPr>
        <w:t xml:space="preserve">:  </w:t>
      </w:r>
      <w:r w:rsidRPr="008F5CBC">
        <w:rPr>
          <w:rFonts w:asciiTheme="minorHAnsi" w:hAnsiTheme="minorHAnsi"/>
          <w:i/>
          <w:iCs/>
          <w:sz w:val="24"/>
          <w14:ligatures w14:val="none"/>
        </w:rPr>
        <w:t xml:space="preserve">Due to the pandamic and current protocols, there may be some changes in administering </w:t>
      </w:r>
      <w:r w:rsidR="00927666">
        <w:rPr>
          <w:rFonts w:asciiTheme="minorHAnsi" w:hAnsiTheme="minorHAnsi"/>
          <w:i/>
          <w:iCs/>
          <w:sz w:val="24"/>
          <w14:ligatures w14:val="none"/>
        </w:rPr>
        <w:t>this</w:t>
      </w:r>
      <w:r w:rsidRPr="008F5CBC">
        <w:rPr>
          <w:rFonts w:asciiTheme="minorHAnsi" w:hAnsiTheme="minorHAnsi"/>
          <w:i/>
          <w:iCs/>
          <w:sz w:val="24"/>
          <w14:ligatures w14:val="none"/>
        </w:rPr>
        <w:t xml:space="preserve"> Sacrament.</w:t>
      </w:r>
    </w:p>
    <w:p w14:paraId="1210E5EE" w14:textId="77777777" w:rsidR="00B73A95" w:rsidRPr="00B73A95" w:rsidRDefault="00B73A95" w:rsidP="00B73A95">
      <w:pPr>
        <w:widowControl w:val="0"/>
        <w:spacing w:after="120"/>
        <w:rPr>
          <w:rFonts w:asciiTheme="minorHAnsi" w:hAnsiTheme="minorHAnsi"/>
          <w:sz w:val="24"/>
          <w14:ligatures w14:val="none"/>
        </w:rPr>
      </w:pPr>
      <w:r w:rsidRPr="00B73A95">
        <w:rPr>
          <w:rFonts w:asciiTheme="minorHAnsi" w:hAnsiTheme="minorHAnsi"/>
          <w:sz w:val="24"/>
          <w14:ligatures w14:val="none"/>
        </w:rPr>
        <w:t>May we pray for our brothers and sisters whose health is impaired. May we offer them the hope of the Sacrament of the Sick, our prayers and our companionship as a faith community.</w:t>
      </w:r>
    </w:p>
    <w:p w14:paraId="2D51A81D" w14:textId="77777777" w:rsidR="00B73A95" w:rsidRPr="00B73A95" w:rsidRDefault="00B73A95" w:rsidP="00B73A95">
      <w:pPr>
        <w:widowControl w:val="0"/>
        <w:rPr>
          <w:rFonts w:asciiTheme="minorHAnsi" w:hAnsiTheme="minorHAnsi"/>
          <w:sz w:val="24"/>
          <w14:ligatures w14:val="none"/>
        </w:rPr>
      </w:pPr>
      <w:r w:rsidRPr="00B73A95">
        <w:rPr>
          <w:rFonts w:asciiTheme="minorHAnsi" w:hAnsiTheme="minorHAnsi"/>
          <w:sz w:val="24"/>
          <w14:ligatures w14:val="none"/>
        </w:rPr>
        <w:t> </w:t>
      </w:r>
    </w:p>
    <w:p w14:paraId="30AB3368" w14:textId="77777777" w:rsidR="000E686E" w:rsidRPr="00B73A95" w:rsidRDefault="00927666">
      <w:pPr>
        <w:rPr>
          <w:rFonts w:asciiTheme="minorHAnsi" w:hAnsiTheme="minorHAnsi"/>
          <w:sz w:val="24"/>
        </w:rPr>
      </w:pPr>
    </w:p>
    <w:sectPr w:rsidR="000E686E" w:rsidRPr="00B73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95"/>
    <w:rsid w:val="008F5CBC"/>
    <w:rsid w:val="00927666"/>
    <w:rsid w:val="00B73A95"/>
    <w:rsid w:val="00E12D4E"/>
    <w:rsid w:val="00F0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59C1"/>
  <w15:chartTrackingRefBased/>
  <w15:docId w15:val="{4E25C91D-2D90-4189-A41D-EBBC70F4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95"/>
    <w:pPr>
      <w:spacing w:after="0" w:line="240" w:lineRule="auto"/>
      <w:jc w:val="both"/>
    </w:pPr>
    <w:rPr>
      <w:rFonts w:ascii="Times New Roman" w:eastAsia="Times New Roman" w:hAnsi="Times New Roman" w:cs="Times New Roman"/>
      <w:color w:val="21212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Bigham</dc:creator>
  <cp:keywords/>
  <dc:description/>
  <cp:lastModifiedBy>Joan Bigham</cp:lastModifiedBy>
  <cp:revision>2</cp:revision>
  <cp:lastPrinted>2021-05-06T14:39:00Z</cp:lastPrinted>
  <dcterms:created xsi:type="dcterms:W3CDTF">2018-06-29T14:22:00Z</dcterms:created>
  <dcterms:modified xsi:type="dcterms:W3CDTF">2021-05-06T15:16:00Z</dcterms:modified>
</cp:coreProperties>
</file>